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561EC" w14:textId="6ACE80EA" w:rsidR="00422831" w:rsidRPr="00080C8A" w:rsidRDefault="00422831" w:rsidP="00422831">
      <w:pPr>
        <w:rPr>
          <w:rFonts w:eastAsia="Times New Roman"/>
          <w:b/>
          <w:bCs/>
          <w:iCs/>
          <w:color w:val="000000" w:themeColor="text1"/>
          <w:sz w:val="28"/>
          <w:szCs w:val="28"/>
          <w:lang w:eastAsia="en-GB"/>
        </w:rPr>
      </w:pPr>
    </w:p>
    <w:p w14:paraId="297542B0" w14:textId="2DFC3D57" w:rsidR="00E7373D" w:rsidRPr="00E7373D" w:rsidRDefault="00096656" w:rsidP="00E7373D">
      <w:pPr>
        <w:rPr>
          <w:rFonts w:ascii="Aptos" w:eastAsia="Aptos" w:hAnsi="Aptos" w:cs="Segoe UI"/>
          <w:b/>
          <w:bCs/>
          <w:color w:val="242424"/>
          <w:kern w:val="2"/>
          <w:sz w:val="32"/>
          <w:szCs w:val="32"/>
          <w14:ligatures w14:val="standardContextual"/>
        </w:rPr>
      </w:pPr>
      <w:r>
        <w:rPr>
          <w:rFonts w:ascii="Aptos" w:eastAsia="Aptos" w:hAnsi="Aptos" w:cs="Segoe UI"/>
          <w:b/>
          <w:bCs/>
          <w:color w:val="242424"/>
          <w:kern w:val="2"/>
          <w:sz w:val="32"/>
          <w:szCs w:val="32"/>
          <w14:ligatures w14:val="standardContextual"/>
        </w:rPr>
        <w:t>Complaints</w:t>
      </w:r>
    </w:p>
    <w:p w14:paraId="128C1A3B" w14:textId="77777777" w:rsidR="00E7373D" w:rsidRPr="00E7373D" w:rsidRDefault="00E7373D" w:rsidP="00E7373D">
      <w:pPr>
        <w:rPr>
          <w:rFonts w:ascii="Aptos" w:eastAsia="Aptos" w:hAnsi="Aptos" w:cs="Segoe UI"/>
          <w:color w:val="242424"/>
          <w:kern w:val="2"/>
          <w14:ligatures w14:val="standardContextual"/>
        </w:rPr>
      </w:pPr>
    </w:p>
    <w:p w14:paraId="522FF2BA" w14:textId="77777777" w:rsidR="000A6681" w:rsidRDefault="00885C73" w:rsidP="00E7373D">
      <w:pPr>
        <w:rPr>
          <w:rFonts w:ascii="Aptos" w:eastAsia="Aptos" w:hAnsi="Aptos" w:cs="Segoe UI"/>
          <w:color w:val="242424"/>
          <w:kern w:val="2"/>
          <w14:ligatures w14:val="standardContextual"/>
        </w:rPr>
      </w:pPr>
      <w:r w:rsidRPr="00885C73">
        <w:rPr>
          <w:rFonts w:ascii="Aptos" w:eastAsia="Aptos" w:hAnsi="Aptos" w:cs="Segoe UI"/>
          <w:color w:val="242424"/>
          <w:kern w:val="2"/>
          <w14:ligatures w14:val="standardContextual"/>
        </w:rPr>
        <w:t xml:space="preserve">Your feedback is crucial to us at Gillis Risk Management. We truly value your comments about our service. If we make an error, please let us know so we can address it promptly. </w:t>
      </w:r>
    </w:p>
    <w:p w14:paraId="024D668F" w14:textId="77777777" w:rsidR="000A6681" w:rsidRDefault="000A6681" w:rsidP="00E7373D">
      <w:pPr>
        <w:rPr>
          <w:rFonts w:ascii="Aptos" w:eastAsia="Aptos" w:hAnsi="Aptos" w:cs="Segoe UI"/>
          <w:color w:val="242424"/>
          <w:kern w:val="2"/>
          <w14:ligatures w14:val="standardContextual"/>
        </w:rPr>
      </w:pPr>
    </w:p>
    <w:p w14:paraId="4738E924" w14:textId="147FB4F2" w:rsidR="00E7373D" w:rsidRDefault="00885C73" w:rsidP="00E7373D">
      <w:pPr>
        <w:rPr>
          <w:rFonts w:ascii="Aptos" w:eastAsia="Aptos" w:hAnsi="Aptos" w:cs="Segoe UI"/>
          <w:color w:val="242424"/>
          <w:kern w:val="2"/>
          <w14:ligatures w14:val="standardContextual"/>
        </w:rPr>
      </w:pPr>
      <w:r w:rsidRPr="00885C73">
        <w:rPr>
          <w:rFonts w:ascii="Aptos" w:eastAsia="Aptos" w:hAnsi="Aptos" w:cs="Segoe UI"/>
          <w:color w:val="242424"/>
          <w:kern w:val="2"/>
          <w14:ligatures w14:val="standardContextual"/>
        </w:rPr>
        <w:t>We commit to investigating your complaint thoroughly and resolving any issues as quickly as possible, keeping you updated throughout the process. We take all complaints seriously and use the insights gained to enhance our services.</w:t>
      </w:r>
    </w:p>
    <w:p w14:paraId="13A1C41B" w14:textId="77777777" w:rsidR="000A6681" w:rsidRPr="00E7373D" w:rsidRDefault="000A6681" w:rsidP="00E7373D">
      <w:pPr>
        <w:rPr>
          <w:rFonts w:ascii="Aptos" w:eastAsia="Aptos" w:hAnsi="Aptos" w:cs="Segoe UI"/>
          <w:color w:val="242424"/>
          <w:kern w:val="2"/>
          <w:lang w:val="en-US"/>
          <w14:ligatures w14:val="standardContextual"/>
        </w:rPr>
      </w:pPr>
    </w:p>
    <w:p w14:paraId="1865D94B"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sz w:val="24"/>
          <w:szCs w:val="24"/>
          <w:bdr w:val="nil"/>
          <w:lang w:val="en-US" w:eastAsia="en-GB"/>
          <w14:textOutline w14:w="0" w14:cap="flat" w14:cmpd="sng" w14:algn="ctr">
            <w14:noFill/>
            <w14:prstDash w14:val="solid"/>
            <w14:bevel/>
          </w14:textOutline>
        </w:rPr>
      </w:pPr>
      <w:r w:rsidRPr="00C52F89">
        <w:rPr>
          <w:rFonts w:ascii="Aptos" w:eastAsia="Aptos" w:hAnsi="Aptos" w:cs="Aptos"/>
          <w:color w:val="000000"/>
          <w:sz w:val="24"/>
          <w:szCs w:val="24"/>
          <w:bdr w:val="nil"/>
          <w:lang w:val="en-US" w:eastAsia="en-GB"/>
          <w14:textOutline w14:w="0" w14:cap="flat" w14:cmpd="sng" w14:algn="ctr">
            <w14:noFill/>
            <w14:prstDash w14:val="solid"/>
            <w14:bevel/>
          </w14:textOutline>
        </w:rPr>
        <w:t> </w:t>
      </w:r>
    </w:p>
    <w:p w14:paraId="164DC02E" w14:textId="13662A0C" w:rsidR="00791064" w:rsidRPr="00C52F89" w:rsidRDefault="00A10A3C" w:rsidP="00791064">
      <w:pPr>
        <w:pBdr>
          <w:top w:val="nil"/>
          <w:left w:val="nil"/>
          <w:bottom w:val="nil"/>
          <w:right w:val="nil"/>
          <w:between w:val="nil"/>
          <w:bar w:val="nil"/>
        </w:pBdr>
        <w:jc w:val="both"/>
        <w:rPr>
          <w:rFonts w:ascii="Aptos" w:eastAsia="Aptos" w:hAnsi="Aptos" w:cs="Aptos"/>
          <w:b/>
          <w:bCs/>
          <w:color w:val="000000"/>
          <w:sz w:val="24"/>
          <w:szCs w:val="24"/>
          <w:bdr w:val="nil"/>
          <w:lang w:val="en-US" w:eastAsia="en-GB"/>
          <w14:textOutline w14:w="0" w14:cap="flat" w14:cmpd="sng" w14:algn="ctr">
            <w14:noFill/>
            <w14:prstDash w14:val="solid"/>
            <w14:bevel/>
          </w14:textOutline>
        </w:rPr>
      </w:pPr>
      <w:r>
        <w:rPr>
          <w:rFonts w:ascii="Aptos" w:eastAsia="Aptos" w:hAnsi="Aptos" w:cs="Aptos"/>
          <w:b/>
          <w:bCs/>
          <w:color w:val="000000"/>
          <w:sz w:val="24"/>
          <w:szCs w:val="24"/>
          <w:bdr w:val="nil"/>
          <w:lang w:val="en-US" w:eastAsia="en-GB"/>
          <w14:textOutline w14:w="0" w14:cap="flat" w14:cmpd="sng" w14:algn="ctr">
            <w14:noFill/>
            <w14:prstDash w14:val="solid"/>
            <w14:bevel/>
          </w14:textOutline>
        </w:rPr>
        <w:t xml:space="preserve">Making a </w:t>
      </w:r>
      <w:r w:rsidR="00791064" w:rsidRPr="00C52F89">
        <w:rPr>
          <w:rFonts w:ascii="Aptos" w:eastAsia="Aptos" w:hAnsi="Aptos" w:cs="Aptos"/>
          <w:b/>
          <w:bCs/>
          <w:color w:val="000000"/>
          <w:sz w:val="24"/>
          <w:szCs w:val="24"/>
          <w:bdr w:val="nil"/>
          <w:lang w:val="en-US" w:eastAsia="en-GB"/>
          <w14:textOutline w14:w="0" w14:cap="flat" w14:cmpd="sng" w14:algn="ctr">
            <w14:noFill/>
            <w14:prstDash w14:val="solid"/>
            <w14:bevel/>
          </w14:textOutline>
        </w:rPr>
        <w:t>Complaint</w:t>
      </w:r>
    </w:p>
    <w:p w14:paraId="3FD26573"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bdr w:val="nil"/>
          <w:lang w:val="en-US" w:eastAsia="en-GB"/>
          <w14:textOutline w14:w="0" w14:cap="flat" w14:cmpd="sng" w14:algn="ctr">
            <w14:noFill/>
            <w14:prstDash w14:val="solid"/>
            <w14:bevel/>
          </w14:textOutline>
        </w:rPr>
      </w:pPr>
      <w:r w:rsidRPr="00C52F89">
        <w:rPr>
          <w:rFonts w:ascii="Aptos" w:eastAsia="Aptos" w:hAnsi="Aptos" w:cs="Aptos"/>
          <w:color w:val="000000"/>
          <w:bdr w:val="nil"/>
          <w:lang w:val="en-US" w:eastAsia="en-GB"/>
          <w14:textOutline w14:w="0" w14:cap="flat" w14:cmpd="sng" w14:algn="ctr">
            <w14:noFill/>
            <w14:prstDash w14:val="solid"/>
            <w14:bevel/>
          </w14:textOutline>
        </w:rPr>
        <w:t xml:space="preserve">If we fail to meet your expectations, please let us know as soon as possible. </w:t>
      </w:r>
    </w:p>
    <w:p w14:paraId="058AC439"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bdr w:val="nil"/>
          <w:lang w:val="en-US" w:eastAsia="en-GB"/>
          <w14:textOutline w14:w="0" w14:cap="flat" w14:cmpd="sng" w14:algn="ctr">
            <w14:noFill/>
            <w14:prstDash w14:val="solid"/>
            <w14:bevel/>
          </w14:textOutline>
        </w:rPr>
      </w:pPr>
      <w:r w:rsidRPr="00C52F89">
        <w:rPr>
          <w:rFonts w:ascii="Aptos" w:eastAsia="Aptos" w:hAnsi="Aptos" w:cs="Aptos"/>
          <w:color w:val="000000"/>
          <w:bdr w:val="nil"/>
          <w:lang w:val="en-US" w:eastAsia="en-GB"/>
          <w14:textOutline w14:w="0" w14:cap="flat" w14:cmpd="sng" w14:algn="ctr">
            <w14:noFill/>
            <w14:prstDash w14:val="solid"/>
            <w14:bevel/>
          </w14:textOutline>
        </w:rPr>
        <w:t>Contact</w:t>
      </w:r>
      <w:r w:rsidRPr="00C52F89">
        <w:rPr>
          <w:rFonts w:ascii="Avenir Book" w:eastAsia="Arial Unicode MS" w:hAnsi="Avenir Book" w:cs="Arial Unicode MS"/>
          <w:color w:val="000000"/>
          <w:bdr w:val="nil"/>
          <w:lang w:val="en-US" w:eastAsia="en-GB"/>
          <w14:textOutline w14:w="0" w14:cap="flat" w14:cmpd="sng" w14:algn="ctr">
            <w14:noFill/>
            <w14:prstDash w14:val="solid"/>
            <w14:bevel/>
          </w14:textOutline>
        </w:rPr>
        <w:tab/>
      </w:r>
      <w:r w:rsidRPr="00C52F89">
        <w:rPr>
          <w:rFonts w:ascii="Aptos" w:eastAsia="Aptos" w:hAnsi="Aptos" w:cs="Aptos"/>
          <w:color w:val="000000"/>
          <w:bdr w:val="nil"/>
          <w:lang w:val="en-US" w:eastAsia="en-GB"/>
          <w14:textOutline w14:w="0" w14:cap="flat" w14:cmpd="sng" w14:algn="ctr">
            <w14:noFill/>
            <w14:prstDash w14:val="solid"/>
            <w14:bevel/>
          </w14:textOutline>
        </w:rPr>
        <w:t>William Gillis</w:t>
      </w:r>
    </w:p>
    <w:p w14:paraId="37967136" w14:textId="77777777" w:rsidR="00791064" w:rsidRPr="00C52F89" w:rsidRDefault="00791064" w:rsidP="00791064">
      <w:pPr>
        <w:pBdr>
          <w:top w:val="nil"/>
          <w:left w:val="nil"/>
          <w:bottom w:val="nil"/>
          <w:right w:val="nil"/>
          <w:between w:val="nil"/>
          <w:bar w:val="nil"/>
        </w:pBdr>
        <w:jc w:val="both"/>
        <w:rPr>
          <w:rFonts w:ascii="Aptos" w:eastAsia="Aptos" w:hAnsi="Aptos" w:cs="Aptos"/>
          <w:bdr w:val="nil"/>
          <w:lang w:val="en-US" w:eastAsia="en-GB"/>
          <w14:textOutline w14:w="0" w14:cap="flat" w14:cmpd="sng" w14:algn="ctr">
            <w14:noFill/>
            <w14:prstDash w14:val="solid"/>
            <w14:bevel/>
          </w14:textOutline>
        </w:rPr>
      </w:pPr>
      <w:r w:rsidRPr="00C52F89">
        <w:rPr>
          <w:rFonts w:ascii="Aptos" w:eastAsia="Aptos" w:hAnsi="Aptos" w:cs="Aptos"/>
          <w:bdr w:val="nil"/>
          <w:lang w:val="en-US" w:eastAsia="en-GB"/>
          <w14:textOutline w14:w="0" w14:cap="flat" w14:cmpd="sng" w14:algn="ctr">
            <w14:noFill/>
            <w14:prstDash w14:val="solid"/>
            <w14:bevel/>
          </w14:textOutline>
        </w:rPr>
        <w:t xml:space="preserve">Call </w:t>
      </w:r>
      <w:r w:rsidRPr="00C52F89">
        <w:rPr>
          <w:rFonts w:ascii="Avenir Book" w:eastAsia="Arial Unicode MS" w:hAnsi="Avenir Book" w:cs="Arial Unicode MS"/>
          <w:color w:val="000000"/>
          <w:bdr w:val="nil"/>
          <w:lang w:val="en-US" w:eastAsia="en-GB"/>
          <w14:textOutline w14:w="0" w14:cap="flat" w14:cmpd="sng" w14:algn="ctr">
            <w14:noFill/>
            <w14:prstDash w14:val="solid"/>
            <w14:bevel/>
          </w14:textOutline>
        </w:rPr>
        <w:tab/>
      </w:r>
      <w:r w:rsidRPr="00C52F89">
        <w:rPr>
          <w:rFonts w:ascii="Avenir Book" w:eastAsia="Arial Unicode MS" w:hAnsi="Avenir Book" w:cs="Arial Unicode MS"/>
          <w:color w:val="000000"/>
          <w:bdr w:val="nil"/>
          <w:lang w:val="en-US" w:eastAsia="en-GB"/>
          <w14:textOutline w14:w="0" w14:cap="flat" w14:cmpd="sng" w14:algn="ctr">
            <w14:noFill/>
            <w14:prstDash w14:val="solid"/>
            <w14:bevel/>
          </w14:textOutline>
        </w:rPr>
        <w:tab/>
      </w:r>
      <w:r w:rsidRPr="00C52F89">
        <w:rPr>
          <w:rFonts w:ascii="Aptos" w:eastAsia="Aptos" w:hAnsi="Aptos" w:cs="Aptos"/>
          <w:bdr w:val="nil"/>
          <w:lang w:val="en-US" w:eastAsia="en-GB"/>
          <w14:textOutline w14:w="0" w14:cap="flat" w14:cmpd="sng" w14:algn="ctr">
            <w14:noFill/>
            <w14:prstDash w14:val="solid"/>
            <w14:bevel/>
          </w14:textOutline>
        </w:rPr>
        <w:t xml:space="preserve">07886 825 835    </w:t>
      </w:r>
    </w:p>
    <w:p w14:paraId="2181E86E"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bdr w:val="nil"/>
          <w:lang w:val="en-US" w:eastAsia="en-GB"/>
          <w14:textOutline w14:w="0" w14:cap="flat" w14:cmpd="sng" w14:algn="ctr">
            <w14:noFill/>
            <w14:prstDash w14:val="solid"/>
            <w14:bevel/>
          </w14:textOutline>
        </w:rPr>
      </w:pPr>
      <w:r w:rsidRPr="00C52F89">
        <w:rPr>
          <w:rFonts w:ascii="Aptos" w:eastAsia="Aptos" w:hAnsi="Aptos" w:cs="Aptos"/>
          <w:bdr w:val="nil"/>
          <w:lang w:val="en-US" w:eastAsia="en-GB"/>
          <w14:textOutline w14:w="0" w14:cap="flat" w14:cmpd="sng" w14:algn="ctr">
            <w14:noFill/>
            <w14:prstDash w14:val="solid"/>
            <w14:bevel/>
          </w14:textOutline>
        </w:rPr>
        <w:t>Email</w:t>
      </w:r>
      <w:r w:rsidRPr="00C52F89">
        <w:rPr>
          <w:rFonts w:ascii="Avenir Book" w:eastAsia="Arial Unicode MS" w:hAnsi="Avenir Book" w:cs="Arial Unicode MS"/>
          <w:color w:val="000000"/>
          <w:bdr w:val="nil"/>
          <w:lang w:val="en-US" w:eastAsia="en-GB"/>
          <w14:textOutline w14:w="0" w14:cap="flat" w14:cmpd="sng" w14:algn="ctr">
            <w14:noFill/>
            <w14:prstDash w14:val="solid"/>
            <w14:bevel/>
          </w14:textOutline>
        </w:rPr>
        <w:tab/>
      </w:r>
      <w:r w:rsidRPr="00C52F89">
        <w:rPr>
          <w:rFonts w:ascii="Avenir Book" w:eastAsia="Arial Unicode MS" w:hAnsi="Avenir Book" w:cs="Arial Unicode MS"/>
          <w:color w:val="000000"/>
          <w:bdr w:val="nil"/>
          <w:lang w:val="en-US" w:eastAsia="en-GB"/>
          <w14:textOutline w14:w="0" w14:cap="flat" w14:cmpd="sng" w14:algn="ctr">
            <w14:noFill/>
            <w14:prstDash w14:val="solid"/>
            <w14:bevel/>
          </w14:textOutline>
        </w:rPr>
        <w:tab/>
      </w:r>
      <w:hyperlink r:id="rId7">
        <w:r w:rsidRPr="00C52F89">
          <w:rPr>
            <w:rFonts w:ascii="Aptos" w:eastAsia="Aptos" w:hAnsi="Aptos" w:cs="Aptos"/>
            <w:color w:val="000000"/>
            <w:u w:val="single"/>
            <w:bdr w:val="nil"/>
            <w:lang w:val="en-US" w:eastAsia="en-GB"/>
            <w14:textOutline w14:w="0" w14:cap="flat" w14:cmpd="sng" w14:algn="ctr">
              <w14:noFill/>
              <w14:prstDash w14:val="solid"/>
              <w14:bevel/>
            </w14:textOutline>
          </w:rPr>
          <w:t>Williamgillis@grml.co.uk</w:t>
        </w:r>
      </w:hyperlink>
    </w:p>
    <w:p w14:paraId="0FBE8633" w14:textId="77777777" w:rsidR="00791064" w:rsidRPr="00C52F89" w:rsidRDefault="00791064" w:rsidP="00791064">
      <w:pPr>
        <w:pBdr>
          <w:top w:val="nil"/>
          <w:left w:val="nil"/>
          <w:bottom w:val="nil"/>
          <w:right w:val="nil"/>
          <w:between w:val="nil"/>
          <w:bar w:val="nil"/>
        </w:pBdr>
        <w:jc w:val="both"/>
        <w:rPr>
          <w:rFonts w:ascii="Aptos" w:eastAsia="Aptos" w:hAnsi="Aptos" w:cs="Aptos"/>
          <w:color w:val="970E53"/>
          <w:bdr w:val="nil"/>
          <w:lang w:val="en-US" w:eastAsia="en-GB"/>
          <w14:textOutline w14:w="0" w14:cap="flat" w14:cmpd="sng" w14:algn="ctr">
            <w14:noFill/>
            <w14:prstDash w14:val="solid"/>
            <w14:bevel/>
          </w14:textOutline>
        </w:rPr>
      </w:pPr>
      <w:r w:rsidRPr="00C52F89">
        <w:rPr>
          <w:rFonts w:ascii="Aptos" w:eastAsia="Aptos" w:hAnsi="Aptos" w:cs="Aptos"/>
          <w:bdr w:val="nil"/>
          <w:lang w:val="en-US" w:eastAsia="en-GB"/>
          <w14:textOutline w14:w="0" w14:cap="flat" w14:cmpd="sng" w14:algn="ctr">
            <w14:noFill/>
            <w14:prstDash w14:val="solid"/>
            <w14:bevel/>
          </w14:textOutline>
        </w:rPr>
        <w:t>Write</w:t>
      </w:r>
      <w:r w:rsidRPr="00C52F89">
        <w:rPr>
          <w:rFonts w:ascii="Avenir Book" w:eastAsia="Arial Unicode MS" w:hAnsi="Avenir Book" w:cs="Arial Unicode MS"/>
          <w:color w:val="000000"/>
          <w:bdr w:val="nil"/>
          <w:lang w:val="en-US" w:eastAsia="en-GB"/>
          <w14:textOutline w14:w="0" w14:cap="flat" w14:cmpd="sng" w14:algn="ctr">
            <w14:noFill/>
            <w14:prstDash w14:val="solid"/>
            <w14:bevel/>
          </w14:textOutline>
        </w:rPr>
        <w:tab/>
      </w:r>
      <w:r w:rsidRPr="00C52F89">
        <w:rPr>
          <w:rFonts w:ascii="Avenir Book" w:eastAsia="Arial Unicode MS" w:hAnsi="Avenir Book" w:cs="Arial Unicode MS"/>
          <w:color w:val="000000"/>
          <w:bdr w:val="nil"/>
          <w:lang w:val="en-US" w:eastAsia="en-GB"/>
          <w14:textOutline w14:w="0" w14:cap="flat" w14:cmpd="sng" w14:algn="ctr">
            <w14:noFill/>
            <w14:prstDash w14:val="solid"/>
            <w14:bevel/>
          </w14:textOutline>
        </w:rPr>
        <w:tab/>
      </w:r>
      <w:r w:rsidRPr="00C52F89">
        <w:rPr>
          <w:rFonts w:ascii="Aptos" w:eastAsia="Aptos" w:hAnsi="Aptos" w:cs="Aptos"/>
          <w:bdr w:val="nil"/>
          <w:lang w:val="en-US" w:eastAsia="en-GB"/>
          <w14:textOutline w14:w="0" w14:cap="flat" w14:cmpd="sng" w14:algn="ctr">
            <w14:noFill/>
            <w14:prstDash w14:val="solid"/>
            <w14:bevel/>
          </w14:textOutline>
        </w:rPr>
        <w:t xml:space="preserve">170 Rein Road, Tingley, </w:t>
      </w:r>
      <w:r w:rsidRPr="00C52F89">
        <w:rPr>
          <w:rFonts w:ascii="Aptos" w:eastAsia="Aptos" w:hAnsi="Aptos" w:cs="Aptos"/>
          <w:color w:val="000000"/>
          <w:bdr w:val="nil"/>
          <w:lang w:val="en-US" w:eastAsia="en-GB"/>
          <w14:textOutline w14:w="0" w14:cap="flat" w14:cmpd="sng" w14:algn="ctr">
            <w14:noFill/>
            <w14:prstDash w14:val="solid"/>
            <w14:bevel/>
          </w14:textOutline>
        </w:rPr>
        <w:t xml:space="preserve">Wakefield WF3 1JE </w:t>
      </w:r>
    </w:p>
    <w:p w14:paraId="1B2F1BE2"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sz w:val="20"/>
          <w:szCs w:val="20"/>
          <w:bdr w:val="nil"/>
          <w:lang w:val="en-US" w:eastAsia="en-GB"/>
          <w14:textOutline w14:w="0" w14:cap="flat" w14:cmpd="sng" w14:algn="ctr">
            <w14:noFill/>
            <w14:prstDash w14:val="solid"/>
            <w14:bevel/>
          </w14:textOutline>
        </w:rPr>
      </w:pPr>
      <w:r w:rsidRPr="00C52F89">
        <w:rPr>
          <w:rFonts w:ascii="Aptos" w:eastAsia="Aptos" w:hAnsi="Aptos" w:cs="Aptos"/>
          <w:color w:val="000000"/>
          <w:sz w:val="20"/>
          <w:szCs w:val="20"/>
          <w:bdr w:val="nil"/>
          <w:lang w:val="en-US" w:eastAsia="en-GB"/>
          <w14:textOutline w14:w="0" w14:cap="flat" w14:cmpd="sng" w14:algn="ctr">
            <w14:noFill/>
            <w14:prstDash w14:val="solid"/>
            <w14:bevel/>
          </w14:textOutline>
        </w:rPr>
        <w:t> </w:t>
      </w:r>
    </w:p>
    <w:p w14:paraId="794D8045"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bdr w:val="nil"/>
          <w:lang w:val="en-US" w:eastAsia="en-GB"/>
          <w14:textOutline w14:w="0" w14:cap="flat" w14:cmpd="sng" w14:algn="ctr">
            <w14:noFill/>
            <w14:prstDash w14:val="solid"/>
            <w14:bevel/>
          </w14:textOutline>
        </w:rPr>
      </w:pPr>
      <w:r w:rsidRPr="00C52F89">
        <w:rPr>
          <w:rFonts w:ascii="Aptos" w:eastAsia="Aptos" w:hAnsi="Aptos" w:cs="Aptos"/>
          <w:color w:val="000000"/>
          <w:bdr w:val="nil"/>
          <w:lang w:val="en-US" w:eastAsia="en-GB"/>
          <w14:textOutline w14:w="0" w14:cap="flat" w14:cmpd="sng" w14:algn="ctr">
            <w14:noFill/>
            <w14:prstDash w14:val="solid"/>
            <w14:bevel/>
          </w14:textOutline>
        </w:rPr>
        <w:t>If we can, we will resolve the issue in no more than three working days. If we cannot achieve this, then we will send you an acknowledgement of the matter promptly. We will then investigate and provide a resolution as quickly as possible; we will provide you with a final response within eight weeks at the latest. If you are not happy with our response or the position after a period of eight weeks, you may be eligible to refer your complaint to the Financial Ombudsman Service (FOS) for a free, independent assessment.</w:t>
      </w:r>
    </w:p>
    <w:p w14:paraId="2D3EC8BC"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bdr w:val="nil"/>
          <w:lang w:val="en-US" w:eastAsia="en-GB"/>
          <w14:textOutline w14:w="0" w14:cap="flat" w14:cmpd="sng" w14:algn="ctr">
            <w14:noFill/>
            <w14:prstDash w14:val="solid"/>
            <w14:bevel/>
          </w14:textOutline>
        </w:rPr>
      </w:pPr>
      <w:r w:rsidRPr="00C52F89">
        <w:rPr>
          <w:rFonts w:ascii="Aptos" w:eastAsia="Aptos" w:hAnsi="Aptos" w:cs="Aptos"/>
          <w:color w:val="000000"/>
          <w:bdr w:val="nil"/>
          <w:lang w:val="en-US" w:eastAsia="en-GB"/>
          <w14:textOutline w14:w="0" w14:cap="flat" w14:cmpd="sng" w14:algn="ctr">
            <w14:noFill/>
            <w14:prstDash w14:val="solid"/>
            <w14:bevel/>
          </w14:textOutline>
        </w:rPr>
        <w:t> </w:t>
      </w:r>
    </w:p>
    <w:p w14:paraId="5CA79CE7"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bdr w:val="nil"/>
          <w:lang w:val="en-US" w:eastAsia="en-GB"/>
          <w14:textOutline w14:w="0" w14:cap="flat" w14:cmpd="sng" w14:algn="ctr">
            <w14:noFill/>
            <w14:prstDash w14:val="solid"/>
            <w14:bevel/>
          </w14:textOutline>
        </w:rPr>
      </w:pPr>
      <w:r w:rsidRPr="00C52F89">
        <w:rPr>
          <w:rFonts w:ascii="Aptos" w:eastAsia="Aptos" w:hAnsi="Aptos" w:cs="Aptos"/>
          <w:color w:val="000000"/>
          <w:bdr w:val="nil"/>
          <w:lang w:val="en-US" w:eastAsia="en-GB"/>
          <w14:textOutline w14:w="0" w14:cap="flat" w14:cmpd="sng" w14:algn="ctr">
            <w14:noFill/>
            <w14:prstDash w14:val="solid"/>
            <w14:bevel/>
          </w14:textOutline>
        </w:rPr>
        <w:t xml:space="preserve">The FOS Consumer Helpline is 0800 023 4567 (free from landlines) or 0300 123 9123 (included in mobile minutes). You can also apply online at www.financial-ombudsman.org.uk, where you can also find further information, or you can contact them at Financial Ombudsman Service, Exchange Tower, </w:t>
      </w:r>
      <w:proofErr w:type="spellStart"/>
      <w:r w:rsidRPr="00C52F89">
        <w:rPr>
          <w:rFonts w:ascii="Aptos" w:eastAsia="Aptos" w:hAnsi="Aptos" w:cs="Aptos"/>
          <w:color w:val="000000"/>
          <w:bdr w:val="nil"/>
          <w:lang w:val="en-US" w:eastAsia="en-GB"/>
          <w14:textOutline w14:w="0" w14:cap="flat" w14:cmpd="sng" w14:algn="ctr">
            <w14:noFill/>
            <w14:prstDash w14:val="solid"/>
            <w14:bevel/>
          </w14:textOutline>
        </w:rPr>
        <w:t>Harbour</w:t>
      </w:r>
      <w:proofErr w:type="spellEnd"/>
      <w:r w:rsidRPr="00C52F89">
        <w:rPr>
          <w:rFonts w:ascii="Aptos" w:eastAsia="Aptos" w:hAnsi="Aptos" w:cs="Aptos"/>
          <w:color w:val="000000"/>
          <w:bdr w:val="nil"/>
          <w:lang w:val="en-US" w:eastAsia="en-GB"/>
          <w14:textOutline w14:w="0" w14:cap="flat" w14:cmpd="sng" w14:algn="ctr">
            <w14:noFill/>
            <w14:prstDash w14:val="solid"/>
            <w14:bevel/>
          </w14:textOutline>
        </w:rPr>
        <w:t xml:space="preserve"> Exchange Square, London, E14 9SR.  A full copy of our complaint's procedure is available on request.</w:t>
      </w:r>
    </w:p>
    <w:p w14:paraId="3BC88495" w14:textId="075F06B0" w:rsidR="004430E2" w:rsidRDefault="004430E2" w:rsidP="004430E2">
      <w:pPr>
        <w:spacing w:line="278" w:lineRule="auto"/>
      </w:pPr>
      <w:r w:rsidRPr="00BA230E">
        <w:t>By email: </w:t>
      </w:r>
      <w:hyperlink r:id="rId8" w:history="1">
        <w:r w:rsidRPr="00BA230E">
          <w:rPr>
            <w:rStyle w:val="Hyperlink"/>
          </w:rPr>
          <w:t>complaint.info@financial-ombudsman.org.uk</w:t>
        </w:r>
      </w:hyperlink>
    </w:p>
    <w:p w14:paraId="16931BD4" w14:textId="60D209AD" w:rsidR="004430E2" w:rsidRDefault="004430E2" w:rsidP="004430E2">
      <w:pPr>
        <w:spacing w:line="278" w:lineRule="auto"/>
      </w:pPr>
      <w:r w:rsidRPr="00BA230E">
        <w:t>Website: </w:t>
      </w:r>
      <w:hyperlink r:id="rId9" w:history="1">
        <w:r w:rsidRPr="00BA230E">
          <w:rPr>
            <w:rStyle w:val="Hyperlink"/>
          </w:rPr>
          <w:t>www.financial-ombudsman.org.uk</w:t>
        </w:r>
      </w:hyperlink>
    </w:p>
    <w:p w14:paraId="60F38C6C" w14:textId="77777777" w:rsidR="00C500C4" w:rsidRDefault="00C500C4" w:rsidP="00C500C4">
      <w:pPr>
        <w:spacing w:line="278" w:lineRule="auto"/>
        <w:rPr>
          <w:rFonts w:ascii="Aptos" w:eastAsia="Aptos" w:hAnsi="Aptos" w:cs="Segoe UI"/>
          <w:color w:val="242424"/>
          <w:kern w:val="2"/>
          <w14:ligatures w14:val="standardContextual"/>
        </w:rPr>
      </w:pPr>
    </w:p>
    <w:p w14:paraId="419DFA52" w14:textId="36C93B45" w:rsidR="00C500C4" w:rsidRPr="00C500C4" w:rsidRDefault="00C500C4" w:rsidP="00C500C4">
      <w:pPr>
        <w:spacing w:line="278" w:lineRule="auto"/>
        <w:rPr>
          <w:rFonts w:ascii="Aptos" w:eastAsia="Aptos" w:hAnsi="Aptos" w:cs="Segoe UI"/>
          <w:b/>
          <w:bCs/>
          <w:color w:val="242424"/>
          <w:kern w:val="2"/>
          <w14:ligatures w14:val="standardContextual"/>
        </w:rPr>
      </w:pPr>
      <w:r w:rsidRPr="00C500C4">
        <w:rPr>
          <w:rFonts w:ascii="Aptos" w:eastAsia="Aptos" w:hAnsi="Aptos" w:cs="Segoe UI"/>
          <w:b/>
          <w:bCs/>
          <w:color w:val="242424"/>
          <w:kern w:val="2"/>
          <w14:ligatures w14:val="standardContextual"/>
        </w:rPr>
        <w:t>An Eligible Complainant is defined as:</w:t>
      </w:r>
    </w:p>
    <w:p w14:paraId="6498FFE4" w14:textId="77777777" w:rsidR="00C500C4" w:rsidRPr="00C500C4" w:rsidRDefault="00C500C4" w:rsidP="00C500C4">
      <w:pPr>
        <w:numPr>
          <w:ilvl w:val="0"/>
          <w:numId w:val="5"/>
        </w:numPr>
        <w:spacing w:line="278" w:lineRule="auto"/>
        <w:rPr>
          <w:rFonts w:ascii="Aptos" w:eastAsia="Aptos" w:hAnsi="Aptos" w:cs="Segoe UI"/>
          <w:color w:val="242424"/>
          <w:kern w:val="2"/>
          <w14:ligatures w14:val="standardContextual"/>
        </w:rPr>
      </w:pPr>
      <w:r w:rsidRPr="00C500C4">
        <w:rPr>
          <w:rFonts w:ascii="Aptos" w:eastAsia="Aptos" w:hAnsi="Aptos" w:cs="Segoe UI"/>
          <w:color w:val="242424"/>
          <w:kern w:val="2"/>
          <w14:ligatures w14:val="standardContextual"/>
        </w:rPr>
        <w:t>Any private individual</w:t>
      </w:r>
    </w:p>
    <w:p w14:paraId="5C9DC171" w14:textId="77777777" w:rsidR="00C500C4" w:rsidRPr="00C500C4" w:rsidRDefault="00C500C4" w:rsidP="00C500C4">
      <w:pPr>
        <w:numPr>
          <w:ilvl w:val="0"/>
          <w:numId w:val="5"/>
        </w:numPr>
        <w:spacing w:line="278" w:lineRule="auto"/>
        <w:rPr>
          <w:rFonts w:ascii="Aptos" w:eastAsia="Aptos" w:hAnsi="Aptos" w:cs="Segoe UI"/>
          <w:color w:val="242424"/>
          <w:kern w:val="2"/>
          <w14:ligatures w14:val="standardContextual"/>
        </w:rPr>
      </w:pPr>
      <w:r w:rsidRPr="00C500C4">
        <w:rPr>
          <w:rFonts w:ascii="Aptos" w:eastAsia="Aptos" w:hAnsi="Aptos" w:cs="Segoe UI"/>
          <w:color w:val="242424"/>
          <w:kern w:val="2"/>
          <w14:ligatures w14:val="standardContextual"/>
        </w:rPr>
        <w:t>Any business with a turnover of less than £6.5 million and less than 50 staff or has a balance sheet total or less than £5 million.</w:t>
      </w:r>
    </w:p>
    <w:p w14:paraId="2B12F04E" w14:textId="77777777" w:rsidR="00C500C4" w:rsidRPr="00C500C4" w:rsidRDefault="00C500C4" w:rsidP="00C500C4">
      <w:pPr>
        <w:numPr>
          <w:ilvl w:val="0"/>
          <w:numId w:val="5"/>
        </w:numPr>
        <w:spacing w:line="278" w:lineRule="auto"/>
        <w:rPr>
          <w:rFonts w:ascii="Aptos" w:eastAsia="Aptos" w:hAnsi="Aptos" w:cs="Segoe UI"/>
          <w:color w:val="242424"/>
          <w:kern w:val="2"/>
          <w14:ligatures w14:val="standardContextual"/>
        </w:rPr>
      </w:pPr>
      <w:r w:rsidRPr="00C500C4">
        <w:rPr>
          <w:rFonts w:ascii="Aptos" w:eastAsia="Aptos" w:hAnsi="Aptos" w:cs="Segoe UI"/>
          <w:color w:val="242424"/>
          <w:kern w:val="2"/>
          <w14:ligatures w14:val="standardContextual"/>
        </w:rPr>
        <w:t>A charity which has an annual income of less than £6.5 million</w:t>
      </w:r>
    </w:p>
    <w:p w14:paraId="1099BB87" w14:textId="77777777" w:rsidR="00C500C4" w:rsidRPr="00C500C4" w:rsidRDefault="00C500C4" w:rsidP="00C500C4">
      <w:pPr>
        <w:numPr>
          <w:ilvl w:val="0"/>
          <w:numId w:val="5"/>
        </w:numPr>
        <w:spacing w:line="278" w:lineRule="auto"/>
        <w:rPr>
          <w:rFonts w:ascii="Aptos" w:eastAsia="Aptos" w:hAnsi="Aptos" w:cs="Segoe UI"/>
          <w:color w:val="242424"/>
          <w:kern w:val="2"/>
          <w14:ligatures w14:val="standardContextual"/>
        </w:rPr>
      </w:pPr>
      <w:r w:rsidRPr="00C500C4">
        <w:rPr>
          <w:rFonts w:ascii="Aptos" w:eastAsia="Aptos" w:hAnsi="Aptos" w:cs="Segoe UI"/>
          <w:color w:val="242424"/>
          <w:kern w:val="2"/>
          <w14:ligatures w14:val="standardContextual"/>
        </w:rPr>
        <w:t>A trustee of a trust which has a net asset value of less than £5 million</w:t>
      </w:r>
    </w:p>
    <w:p w14:paraId="74BBDFB0" w14:textId="77777777" w:rsidR="00C500C4" w:rsidRPr="00C500C4" w:rsidRDefault="00C500C4" w:rsidP="00C500C4">
      <w:pPr>
        <w:numPr>
          <w:ilvl w:val="0"/>
          <w:numId w:val="5"/>
        </w:numPr>
        <w:spacing w:line="278" w:lineRule="auto"/>
        <w:rPr>
          <w:rFonts w:ascii="Aptos" w:eastAsia="Aptos" w:hAnsi="Aptos" w:cs="Segoe UI"/>
          <w:color w:val="242424"/>
          <w:kern w:val="2"/>
          <w14:ligatures w14:val="standardContextual"/>
        </w:rPr>
      </w:pPr>
      <w:r w:rsidRPr="00C500C4">
        <w:rPr>
          <w:rFonts w:ascii="Aptos" w:eastAsia="Aptos" w:hAnsi="Aptos" w:cs="Segoe UI"/>
          <w:color w:val="242424"/>
          <w:kern w:val="2"/>
          <w14:ligatures w14:val="standardContextual"/>
        </w:rPr>
        <w:t>An individual who has given a guarantee or security in respect of an obligation or liability of a small business</w:t>
      </w:r>
    </w:p>
    <w:p w14:paraId="6681653C" w14:textId="77777777" w:rsidR="00C500C4" w:rsidRPr="00C500C4" w:rsidRDefault="00C500C4" w:rsidP="00C500C4">
      <w:pPr>
        <w:spacing w:line="278" w:lineRule="auto"/>
        <w:rPr>
          <w:rFonts w:ascii="Aptos" w:eastAsia="Aptos" w:hAnsi="Aptos" w:cs="Segoe UI"/>
          <w:color w:val="242424"/>
          <w:kern w:val="2"/>
          <w14:ligatures w14:val="standardContextual"/>
        </w:rPr>
      </w:pPr>
      <w:r w:rsidRPr="00C500C4">
        <w:rPr>
          <w:rFonts w:ascii="Aptos" w:eastAsia="Aptos" w:hAnsi="Aptos" w:cs="Segoe UI"/>
          <w:b/>
          <w:bCs/>
          <w:i/>
          <w:iCs/>
          <w:color w:val="242424"/>
          <w:kern w:val="2"/>
          <w14:ligatures w14:val="standardContextual"/>
        </w:rPr>
        <w:t>Please note if you wish to refer a complaint to the Financial Ombudsman Service, you must do so within six months of receiving our final response.</w:t>
      </w:r>
    </w:p>
    <w:p w14:paraId="253B2422" w14:textId="249F435F" w:rsidR="00791064" w:rsidRPr="004430E2" w:rsidRDefault="00791064" w:rsidP="00791064">
      <w:pPr>
        <w:pBdr>
          <w:top w:val="nil"/>
          <w:left w:val="nil"/>
          <w:bottom w:val="nil"/>
          <w:right w:val="nil"/>
          <w:between w:val="nil"/>
          <w:bar w:val="nil"/>
        </w:pBdr>
        <w:jc w:val="both"/>
        <w:rPr>
          <w:rFonts w:ascii="Aptos" w:eastAsia="Aptos" w:hAnsi="Aptos" w:cs="Aptos"/>
          <w:color w:val="000000"/>
          <w:bdr w:val="nil"/>
          <w:lang w:eastAsia="en-GB"/>
          <w14:textOutline w14:w="0" w14:cap="flat" w14:cmpd="sng" w14:algn="ctr">
            <w14:noFill/>
            <w14:prstDash w14:val="solid"/>
            <w14:bevel/>
          </w14:textOutline>
        </w:rPr>
      </w:pPr>
    </w:p>
    <w:p w14:paraId="68E5FA80" w14:textId="77777777" w:rsidR="00791064" w:rsidRPr="00C52F89" w:rsidRDefault="00791064" w:rsidP="00791064">
      <w:pPr>
        <w:pBdr>
          <w:top w:val="nil"/>
          <w:left w:val="nil"/>
          <w:bottom w:val="nil"/>
          <w:right w:val="nil"/>
          <w:between w:val="nil"/>
          <w:bar w:val="nil"/>
        </w:pBdr>
        <w:jc w:val="both"/>
        <w:rPr>
          <w:rFonts w:ascii="Aptos" w:eastAsia="Aptos" w:hAnsi="Aptos" w:cs="Aptos"/>
          <w:b/>
          <w:bCs/>
          <w:color w:val="000000"/>
          <w:bdr w:val="nil"/>
          <w:lang w:val="en-US" w:eastAsia="en-GB"/>
          <w14:textOutline w14:w="0" w14:cap="flat" w14:cmpd="sng" w14:algn="ctr">
            <w14:noFill/>
            <w14:prstDash w14:val="solid"/>
            <w14:bevel/>
          </w14:textOutline>
        </w:rPr>
      </w:pPr>
      <w:r w:rsidRPr="00C52F89">
        <w:rPr>
          <w:rFonts w:ascii="Aptos" w:eastAsia="Aptos" w:hAnsi="Aptos" w:cs="Aptos"/>
          <w:b/>
          <w:bCs/>
          <w:color w:val="000000"/>
          <w:bdr w:val="nil"/>
          <w:lang w:val="en-US" w:eastAsia="en-GB"/>
          <w14:textOutline w14:w="0" w14:cap="flat" w14:cmpd="sng" w14:algn="ctr">
            <w14:noFill/>
            <w14:prstDash w14:val="solid"/>
            <w14:bevel/>
          </w14:textOutline>
        </w:rPr>
        <w:lastRenderedPageBreak/>
        <w:t xml:space="preserve">Financial Services Compensation Scheme (FSCS)   </w:t>
      </w:r>
    </w:p>
    <w:p w14:paraId="59C7EBA5"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bdr w:val="nil"/>
          <w:lang w:val="en-US" w:eastAsia="en-GB"/>
          <w14:textOutline w14:w="0" w14:cap="flat" w14:cmpd="sng" w14:algn="ctr">
            <w14:noFill/>
            <w14:prstDash w14:val="solid"/>
            <w14:bevel/>
          </w14:textOutline>
        </w:rPr>
      </w:pPr>
      <w:r w:rsidRPr="00C52F89">
        <w:rPr>
          <w:rFonts w:ascii="Aptos" w:eastAsia="Aptos" w:hAnsi="Aptos" w:cs="Aptos"/>
          <w:color w:val="000000"/>
          <w:bdr w:val="nil"/>
          <w:lang w:val="en-US" w:eastAsia="en-GB"/>
          <w14:textOutline w14:w="0" w14:cap="flat" w14:cmpd="sng" w14:algn="ctr">
            <w14:noFill/>
            <w14:prstDash w14:val="solid"/>
            <w14:bevel/>
          </w14:textOutline>
        </w:rPr>
        <w:t xml:space="preserve">If we are unable to meet our obligations, you may be entitled to compensation from the FSCS. If we have advised or arranged insurance for you, this will be covered for 90% of a claim without any upper limit. Claims under compulsory insurance, such as third-party Road Traffic Act liabilities, employers' liability, riding school liability and some professional indemnity, and certain claims for injury, sickness or infirmity of the policyholder, are protected for 100% of the amount of claim.  Further information is available from the FSCS helpline on 0800 678 1100 or 020 7741 4100 and www.fscs.org.uk. </w:t>
      </w:r>
    </w:p>
    <w:p w14:paraId="65A80F67"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bdr w:val="nil"/>
          <w:lang w:val="en-US" w:eastAsia="en-GB"/>
          <w14:textOutline w14:w="0" w14:cap="flat" w14:cmpd="sng" w14:algn="ctr">
            <w14:noFill/>
            <w14:prstDash w14:val="solid"/>
            <w14:bevel/>
          </w14:textOutline>
        </w:rPr>
      </w:pPr>
      <w:r w:rsidRPr="00C52F89">
        <w:rPr>
          <w:rFonts w:ascii="Aptos" w:eastAsia="Aptos" w:hAnsi="Aptos" w:cs="Aptos"/>
          <w:color w:val="000000"/>
          <w:bdr w:val="nil"/>
          <w:lang w:val="en-US" w:eastAsia="en-GB"/>
          <w14:textOutline w14:w="0" w14:cap="flat" w14:cmpd="sng" w14:algn="ctr">
            <w14:noFill/>
            <w14:prstDash w14:val="solid"/>
            <w14:bevel/>
          </w14:textOutline>
        </w:rPr>
        <w:t> </w:t>
      </w:r>
    </w:p>
    <w:p w14:paraId="7B63C2EC" w14:textId="77777777" w:rsidR="00791064" w:rsidRPr="00C52F89" w:rsidRDefault="00791064" w:rsidP="00791064">
      <w:pPr>
        <w:pBdr>
          <w:top w:val="nil"/>
          <w:left w:val="nil"/>
          <w:bottom w:val="nil"/>
          <w:right w:val="nil"/>
          <w:between w:val="nil"/>
          <w:bar w:val="nil"/>
        </w:pBdr>
        <w:jc w:val="both"/>
        <w:rPr>
          <w:rFonts w:ascii="Aptos" w:eastAsia="Aptos" w:hAnsi="Aptos" w:cs="Aptos"/>
          <w:color w:val="000000"/>
          <w:bdr w:val="nil"/>
          <w:lang w:val="en-US" w:eastAsia="en-GB"/>
          <w14:textOutline w14:w="0" w14:cap="flat" w14:cmpd="sng" w14:algn="ctr">
            <w14:noFill/>
            <w14:prstDash w14:val="solid"/>
            <w14:bevel/>
          </w14:textOutline>
        </w:rPr>
      </w:pPr>
      <w:r w:rsidRPr="00C52F89">
        <w:rPr>
          <w:rFonts w:ascii="Aptos" w:eastAsia="Aptos" w:hAnsi="Aptos" w:cs="Aptos"/>
          <w:color w:val="000000"/>
          <w:bdr w:val="nil"/>
          <w:lang w:val="en-US" w:eastAsia="en-GB"/>
          <w14:textOutline w14:w="0" w14:cap="flat" w14:cmpd="sng" w14:algn="ctr">
            <w14:noFill/>
            <w14:prstDash w14:val="solid"/>
            <w14:bevel/>
          </w14:textOutline>
        </w:rPr>
        <w:t>The FSCS is the UK’s statutory fund of last resort for customers of authorised financial services firms.  Compensation is usually payable if an authorised firm is declared in default and unable to pay claims against it.</w:t>
      </w:r>
    </w:p>
    <w:p w14:paraId="33B07BE4" w14:textId="77777777" w:rsidR="00E7373D" w:rsidRPr="00791064" w:rsidRDefault="00E7373D" w:rsidP="00E7373D">
      <w:pPr>
        <w:rPr>
          <w:rFonts w:ascii="Aptos" w:eastAsia="Aptos" w:hAnsi="Aptos" w:cs="Segoe UI"/>
          <w:color w:val="242424"/>
          <w:kern w:val="2"/>
          <w:lang w:val="en-US"/>
          <w14:ligatures w14:val="standardContextual"/>
        </w:rPr>
      </w:pPr>
    </w:p>
    <w:sectPr w:rsidR="00E7373D" w:rsidRPr="00791064" w:rsidSect="00766EED">
      <w:headerReference w:type="default"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CCE0" w14:textId="77777777" w:rsidR="003C0AD2" w:rsidRDefault="003C0AD2" w:rsidP="00745AA5">
      <w:r>
        <w:separator/>
      </w:r>
    </w:p>
  </w:endnote>
  <w:endnote w:type="continuationSeparator" w:id="0">
    <w:p w14:paraId="639DA372" w14:textId="77777777" w:rsidR="003C0AD2" w:rsidRDefault="003C0AD2" w:rsidP="0074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CE21" w14:textId="7C7078DB" w:rsidR="00745AA5" w:rsidRPr="00952220" w:rsidRDefault="00952220" w:rsidP="00422831">
    <w:pPr>
      <w:pStyle w:val="Footer"/>
      <w:tabs>
        <w:tab w:val="clear" w:pos="4513"/>
        <w:tab w:val="clear" w:pos="9026"/>
        <w:tab w:val="left" w:pos="5620"/>
      </w:tabs>
      <w:ind w:left="-426" w:right="-257"/>
      <w:jc w:val="center"/>
      <w:rPr>
        <w:color w:val="404040" w:themeColor="text1" w:themeTint="BF"/>
        <w:lang w:val="en-US"/>
      </w:rPr>
    </w:pPr>
    <w:r>
      <w:rPr>
        <w:color w:val="404040" w:themeColor="text1" w:themeTint="BF"/>
        <w:sz w:val="32"/>
        <w:szCs w:val="32"/>
        <w:lang w:val="en-US"/>
      </w:rPr>
      <w:t>Website Terms of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8BBF" w14:textId="77777777" w:rsidR="00C567E7" w:rsidRDefault="00C567E7" w:rsidP="00E338E7">
    <w:pPr>
      <w:pStyle w:val="Footer"/>
      <w:rPr>
        <w:color w:val="747474" w:themeColor="background2" w:themeShade="80"/>
        <w:sz w:val="20"/>
        <w:szCs w:val="20"/>
      </w:rPr>
    </w:pPr>
  </w:p>
  <w:p w14:paraId="558A0B2E" w14:textId="77777777" w:rsidR="00C567E7" w:rsidRDefault="00C567E7" w:rsidP="00E338E7">
    <w:pPr>
      <w:pStyle w:val="Footer"/>
      <w:rPr>
        <w:color w:val="747474" w:themeColor="background2" w:themeShade="80"/>
        <w:sz w:val="20"/>
        <w:szCs w:val="20"/>
      </w:rPr>
    </w:pPr>
  </w:p>
  <w:p w14:paraId="2BDBDA06" w14:textId="77777777" w:rsidR="00C567E7" w:rsidRDefault="00C567E7" w:rsidP="00E338E7">
    <w:pPr>
      <w:pStyle w:val="Footer"/>
      <w:rPr>
        <w:color w:val="747474" w:themeColor="background2" w:themeShade="80"/>
        <w:sz w:val="20"/>
        <w:szCs w:val="20"/>
      </w:rPr>
    </w:pPr>
    <w:r>
      <w:rPr>
        <w:color w:val="747474" w:themeColor="background2" w:themeShade="80"/>
        <w:sz w:val="20"/>
        <w:szCs w:val="20"/>
      </w:rPr>
      <w:t xml:space="preserve">Gillis Risk Management Ltd is authorised and regulated by the Financial Conduct Authority (FCA Reference Number 1004954)   Registered Office 170 Rein Road, Tingley, Wakefield WF3 1JE.  </w:t>
    </w:r>
  </w:p>
  <w:p w14:paraId="670CCFFE" w14:textId="0697636D" w:rsidR="00C567E7" w:rsidRPr="00C567E7" w:rsidRDefault="00C567E7">
    <w:pPr>
      <w:pStyle w:val="Footer"/>
      <w:rPr>
        <w:color w:val="747474" w:themeColor="background2" w:themeShade="80"/>
        <w:sz w:val="20"/>
        <w:szCs w:val="20"/>
      </w:rPr>
    </w:pPr>
    <w:r>
      <w:rPr>
        <w:color w:val="747474" w:themeColor="background2" w:themeShade="80"/>
        <w:sz w:val="20"/>
        <w:szCs w:val="20"/>
      </w:rPr>
      <w:t>Registered in England and Wales with company number 15027436.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E23D" w14:textId="77777777" w:rsidR="003C0AD2" w:rsidRDefault="003C0AD2" w:rsidP="00745AA5">
      <w:r>
        <w:separator/>
      </w:r>
    </w:p>
  </w:footnote>
  <w:footnote w:type="continuationSeparator" w:id="0">
    <w:p w14:paraId="6F88E3D9" w14:textId="77777777" w:rsidR="003C0AD2" w:rsidRDefault="003C0AD2" w:rsidP="0074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686B" w14:textId="77777777" w:rsidR="00745AA5" w:rsidRDefault="00745AA5" w:rsidP="00745AA5">
    <w:pPr>
      <w:pStyle w:val="Header"/>
      <w:tabs>
        <w:tab w:val="clear" w:pos="9026"/>
      </w:tabs>
      <w:ind w:left="-567" w:right="-306"/>
      <w:rPr>
        <w:rFonts w:ascii="Copperplate Gothic Light" w:hAnsi="Copperplate Gothic Light"/>
        <w:b/>
        <w:bCs/>
        <w:sz w:val="28"/>
        <w:szCs w:val="28"/>
      </w:rPr>
    </w:pPr>
    <w:r>
      <w:rPr>
        <w:noProof/>
      </w:rPr>
      <w:drawing>
        <wp:inline distT="0" distB="0" distL="0" distR="0" wp14:anchorId="0F6D7DC7" wp14:editId="767EFD74">
          <wp:extent cx="922020" cy="737635"/>
          <wp:effectExtent l="0" t="0" r="0" b="5715"/>
          <wp:docPr id="2048499757" name="Picture 2" descr="A red and black checke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0748" name="Picture 1" descr="A red and black checkered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025" cy="747239"/>
                  </a:xfrm>
                  <a:prstGeom prst="rect">
                    <a:avLst/>
                  </a:prstGeom>
                </pic:spPr>
              </pic:pic>
            </a:graphicData>
          </a:graphic>
        </wp:inline>
      </w:drawing>
    </w:r>
    <w:r>
      <w:t xml:space="preserve">  </w:t>
    </w:r>
    <w:r>
      <w:tab/>
      <w:t xml:space="preserve">                                                                                           </w:t>
    </w:r>
    <w:r w:rsidRPr="0055296E">
      <w:rPr>
        <w:rFonts w:ascii="Copperplate Gothic Light" w:hAnsi="Copperplate Gothic Light"/>
        <w:b/>
        <w:bCs/>
        <w:sz w:val="28"/>
        <w:szCs w:val="28"/>
      </w:rPr>
      <w:t>Gillis Risk Management Limited</w:t>
    </w:r>
  </w:p>
  <w:p w14:paraId="5C8C9C51" w14:textId="77777777" w:rsidR="00F4066B" w:rsidRDefault="00F4066B" w:rsidP="00745AA5">
    <w:pPr>
      <w:pStyle w:val="Header"/>
      <w:tabs>
        <w:tab w:val="clear" w:pos="9026"/>
      </w:tabs>
      <w:ind w:left="-567" w:right="-306"/>
    </w:pPr>
  </w:p>
  <w:p w14:paraId="125DAF82" w14:textId="77777777" w:rsidR="00745AA5" w:rsidRDefault="00745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A392" w14:textId="77777777" w:rsidR="00766EED" w:rsidRDefault="00766EED" w:rsidP="00766EED">
    <w:pPr>
      <w:pStyle w:val="Header"/>
      <w:tabs>
        <w:tab w:val="clear" w:pos="9026"/>
      </w:tabs>
      <w:ind w:left="-567" w:right="-306"/>
    </w:pPr>
    <w:r>
      <w:rPr>
        <w:noProof/>
      </w:rPr>
      <w:drawing>
        <wp:inline distT="0" distB="0" distL="0" distR="0" wp14:anchorId="34730057" wp14:editId="3AE0DD73">
          <wp:extent cx="922020" cy="737635"/>
          <wp:effectExtent l="0" t="0" r="0" b="5715"/>
          <wp:docPr id="1403962743" name="Picture 2" descr="A red and black checke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0748" name="Picture 1" descr="A red and black checkered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4025" cy="747239"/>
                  </a:xfrm>
                  <a:prstGeom prst="rect">
                    <a:avLst/>
                  </a:prstGeom>
                </pic:spPr>
              </pic:pic>
            </a:graphicData>
          </a:graphic>
        </wp:inline>
      </w:drawing>
    </w:r>
    <w:r>
      <w:t xml:space="preserve">  </w:t>
    </w:r>
    <w:r>
      <w:tab/>
      <w:t xml:space="preserve">                                                                                           </w:t>
    </w:r>
    <w:r w:rsidRPr="0055296E">
      <w:rPr>
        <w:rFonts w:ascii="Copperplate Gothic Light" w:hAnsi="Copperplate Gothic Light"/>
        <w:b/>
        <w:bCs/>
        <w:sz w:val="28"/>
        <w:szCs w:val="28"/>
      </w:rPr>
      <w:t>Gillis Risk Management Limited</w:t>
    </w:r>
  </w:p>
  <w:p w14:paraId="314BF6F8" w14:textId="77777777" w:rsidR="005926E2" w:rsidRDefault="0059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53.4pt;height:53.4pt" o:bullet="t">
        <v:imagedata r:id="rId1" o:title="Grey leaf"/>
      </v:shape>
    </w:pict>
  </w:numPicBullet>
  <w:abstractNum w:abstractNumId="0" w15:restartNumberingAfterBreak="0">
    <w:nsid w:val="139D1091"/>
    <w:multiLevelType w:val="multilevel"/>
    <w:tmpl w:val="8A4E3BA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C1077"/>
    <w:multiLevelType w:val="multilevel"/>
    <w:tmpl w:val="318E5B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2597E"/>
    <w:multiLevelType w:val="multilevel"/>
    <w:tmpl w:val="0A745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BC3C0C"/>
    <w:multiLevelType w:val="multilevel"/>
    <w:tmpl w:val="B070678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6651B"/>
    <w:multiLevelType w:val="multilevel"/>
    <w:tmpl w:val="02A8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022845">
    <w:abstractNumId w:val="2"/>
  </w:num>
  <w:num w:numId="2" w16cid:durableId="334305583">
    <w:abstractNumId w:val="3"/>
  </w:num>
  <w:num w:numId="3" w16cid:durableId="1498687178">
    <w:abstractNumId w:val="0"/>
  </w:num>
  <w:num w:numId="4" w16cid:durableId="1607082596">
    <w:abstractNumId w:val="1"/>
  </w:num>
  <w:num w:numId="5" w16cid:durableId="728266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31"/>
    <w:rsid w:val="000361D9"/>
    <w:rsid w:val="00073052"/>
    <w:rsid w:val="00096656"/>
    <w:rsid w:val="000A6681"/>
    <w:rsid w:val="000D6968"/>
    <w:rsid w:val="000E6AA7"/>
    <w:rsid w:val="000F2FD1"/>
    <w:rsid w:val="000F3C80"/>
    <w:rsid w:val="001353D5"/>
    <w:rsid w:val="001C207A"/>
    <w:rsid w:val="002541B0"/>
    <w:rsid w:val="0026315C"/>
    <w:rsid w:val="00264DF2"/>
    <w:rsid w:val="00266161"/>
    <w:rsid w:val="002E1F40"/>
    <w:rsid w:val="002F6611"/>
    <w:rsid w:val="00335CA9"/>
    <w:rsid w:val="00395864"/>
    <w:rsid w:val="003B2E8B"/>
    <w:rsid w:val="003B33B1"/>
    <w:rsid w:val="003C0AD2"/>
    <w:rsid w:val="003D0C17"/>
    <w:rsid w:val="00402ADA"/>
    <w:rsid w:val="00406DB4"/>
    <w:rsid w:val="0041123D"/>
    <w:rsid w:val="00422831"/>
    <w:rsid w:val="004430E2"/>
    <w:rsid w:val="004D6310"/>
    <w:rsid w:val="00504886"/>
    <w:rsid w:val="00567057"/>
    <w:rsid w:val="005917C3"/>
    <w:rsid w:val="005926E2"/>
    <w:rsid w:val="00595152"/>
    <w:rsid w:val="00607E05"/>
    <w:rsid w:val="006336E1"/>
    <w:rsid w:val="00635525"/>
    <w:rsid w:val="006A1E92"/>
    <w:rsid w:val="006D6690"/>
    <w:rsid w:val="00702AD4"/>
    <w:rsid w:val="00711AE2"/>
    <w:rsid w:val="00716F88"/>
    <w:rsid w:val="00745AA5"/>
    <w:rsid w:val="00766EED"/>
    <w:rsid w:val="007821CD"/>
    <w:rsid w:val="00791064"/>
    <w:rsid w:val="0079795E"/>
    <w:rsid w:val="007B19C2"/>
    <w:rsid w:val="007F08CE"/>
    <w:rsid w:val="007F1868"/>
    <w:rsid w:val="0084700F"/>
    <w:rsid w:val="008761E7"/>
    <w:rsid w:val="00885C73"/>
    <w:rsid w:val="00894362"/>
    <w:rsid w:val="008A4BA6"/>
    <w:rsid w:val="008D3B86"/>
    <w:rsid w:val="008D404B"/>
    <w:rsid w:val="008F701C"/>
    <w:rsid w:val="009428C8"/>
    <w:rsid w:val="00952220"/>
    <w:rsid w:val="00964AC9"/>
    <w:rsid w:val="00A10A3C"/>
    <w:rsid w:val="00A34103"/>
    <w:rsid w:val="00A8441A"/>
    <w:rsid w:val="00AB551C"/>
    <w:rsid w:val="00AD499B"/>
    <w:rsid w:val="00AF192F"/>
    <w:rsid w:val="00AF20D6"/>
    <w:rsid w:val="00B406D3"/>
    <w:rsid w:val="00BA4C9D"/>
    <w:rsid w:val="00BE6CF1"/>
    <w:rsid w:val="00C05B14"/>
    <w:rsid w:val="00C10951"/>
    <w:rsid w:val="00C500C4"/>
    <w:rsid w:val="00C52BF9"/>
    <w:rsid w:val="00C567E7"/>
    <w:rsid w:val="00C56C3C"/>
    <w:rsid w:val="00C7321A"/>
    <w:rsid w:val="00C76FD8"/>
    <w:rsid w:val="00CA3E36"/>
    <w:rsid w:val="00CC030F"/>
    <w:rsid w:val="00D023C4"/>
    <w:rsid w:val="00D02BE4"/>
    <w:rsid w:val="00D50B78"/>
    <w:rsid w:val="00D64CAF"/>
    <w:rsid w:val="00D86BF3"/>
    <w:rsid w:val="00D944E8"/>
    <w:rsid w:val="00DC2443"/>
    <w:rsid w:val="00DC37BD"/>
    <w:rsid w:val="00DD2938"/>
    <w:rsid w:val="00DD2EA5"/>
    <w:rsid w:val="00DE1AF6"/>
    <w:rsid w:val="00E21194"/>
    <w:rsid w:val="00E7373D"/>
    <w:rsid w:val="00EA4862"/>
    <w:rsid w:val="00F4066B"/>
    <w:rsid w:val="00F64F8D"/>
    <w:rsid w:val="00FB2193"/>
    <w:rsid w:val="00FB7AB8"/>
    <w:rsid w:val="00FF360E"/>
    <w:rsid w:val="179E1157"/>
    <w:rsid w:val="7D26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8946"/>
  <w15:chartTrackingRefBased/>
  <w15:docId w15:val="{45C6C1E1-22A6-4713-9D5B-097CA2E3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31"/>
    <w:pPr>
      <w:spacing w:after="0" w:line="240" w:lineRule="auto"/>
    </w:pPr>
    <w:rPr>
      <w:rFonts w:asciiTheme="majorHAnsi" w:hAnsiTheme="majorHAnsi" w:cstheme="majorHAnsi"/>
      <w:kern w:val="0"/>
      <w14:ligatures w14:val="none"/>
    </w:rPr>
  </w:style>
  <w:style w:type="paragraph" w:styleId="Heading1">
    <w:name w:val="heading 1"/>
    <w:basedOn w:val="Normal"/>
    <w:next w:val="Normal"/>
    <w:link w:val="Heading1Char"/>
    <w:uiPriority w:val="9"/>
    <w:qFormat/>
    <w:rsid w:val="00745AA5"/>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AA5"/>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A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A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A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A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AA5"/>
    <w:rPr>
      <w:rFonts w:eastAsiaTheme="majorEastAsia" w:cstheme="majorBidi"/>
      <w:color w:val="272727" w:themeColor="text1" w:themeTint="D8"/>
    </w:rPr>
  </w:style>
  <w:style w:type="paragraph" w:styleId="Title">
    <w:name w:val="Title"/>
    <w:basedOn w:val="Normal"/>
    <w:next w:val="Normal"/>
    <w:link w:val="TitleChar"/>
    <w:uiPriority w:val="10"/>
    <w:qFormat/>
    <w:rsid w:val="00745AA5"/>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5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AA5"/>
    <w:pPr>
      <w:spacing w:before="160"/>
      <w:jc w:val="center"/>
    </w:pPr>
    <w:rPr>
      <w:i/>
      <w:iCs/>
      <w:color w:val="404040" w:themeColor="text1" w:themeTint="BF"/>
    </w:rPr>
  </w:style>
  <w:style w:type="character" w:customStyle="1" w:styleId="QuoteChar">
    <w:name w:val="Quote Char"/>
    <w:basedOn w:val="DefaultParagraphFont"/>
    <w:link w:val="Quote"/>
    <w:uiPriority w:val="29"/>
    <w:rsid w:val="00745AA5"/>
    <w:rPr>
      <w:i/>
      <w:iCs/>
      <w:color w:val="404040" w:themeColor="text1" w:themeTint="BF"/>
    </w:rPr>
  </w:style>
  <w:style w:type="paragraph" w:styleId="ListParagraph">
    <w:name w:val="List Paragraph"/>
    <w:basedOn w:val="Normal"/>
    <w:uiPriority w:val="34"/>
    <w:qFormat/>
    <w:rsid w:val="00745AA5"/>
    <w:pPr>
      <w:ind w:left="720"/>
      <w:contextualSpacing/>
    </w:pPr>
  </w:style>
  <w:style w:type="character" w:styleId="IntenseEmphasis">
    <w:name w:val="Intense Emphasis"/>
    <w:basedOn w:val="DefaultParagraphFont"/>
    <w:uiPriority w:val="21"/>
    <w:qFormat/>
    <w:rsid w:val="00745AA5"/>
    <w:rPr>
      <w:i/>
      <w:iCs/>
      <w:color w:val="0F4761" w:themeColor="accent1" w:themeShade="BF"/>
    </w:rPr>
  </w:style>
  <w:style w:type="paragraph" w:styleId="IntenseQuote">
    <w:name w:val="Intense Quote"/>
    <w:basedOn w:val="Normal"/>
    <w:next w:val="Normal"/>
    <w:link w:val="IntenseQuoteChar"/>
    <w:uiPriority w:val="30"/>
    <w:qFormat/>
    <w:rsid w:val="00745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AA5"/>
    <w:rPr>
      <w:i/>
      <w:iCs/>
      <w:color w:val="0F4761" w:themeColor="accent1" w:themeShade="BF"/>
    </w:rPr>
  </w:style>
  <w:style w:type="character" w:styleId="IntenseReference">
    <w:name w:val="Intense Reference"/>
    <w:basedOn w:val="DefaultParagraphFont"/>
    <w:uiPriority w:val="32"/>
    <w:qFormat/>
    <w:rsid w:val="00745AA5"/>
    <w:rPr>
      <w:b/>
      <w:bCs/>
      <w:smallCaps/>
      <w:color w:val="0F4761" w:themeColor="accent1" w:themeShade="BF"/>
      <w:spacing w:val="5"/>
    </w:rPr>
  </w:style>
  <w:style w:type="paragraph" w:styleId="Header">
    <w:name w:val="header"/>
    <w:basedOn w:val="Normal"/>
    <w:link w:val="HeaderChar"/>
    <w:uiPriority w:val="99"/>
    <w:unhideWhenUsed/>
    <w:rsid w:val="00745AA5"/>
    <w:pPr>
      <w:tabs>
        <w:tab w:val="center" w:pos="4513"/>
        <w:tab w:val="right" w:pos="9026"/>
      </w:tabs>
    </w:pPr>
  </w:style>
  <w:style w:type="character" w:customStyle="1" w:styleId="HeaderChar">
    <w:name w:val="Header Char"/>
    <w:basedOn w:val="DefaultParagraphFont"/>
    <w:link w:val="Header"/>
    <w:uiPriority w:val="99"/>
    <w:rsid w:val="00745AA5"/>
  </w:style>
  <w:style w:type="paragraph" w:styleId="Footer">
    <w:name w:val="footer"/>
    <w:basedOn w:val="Normal"/>
    <w:link w:val="FooterChar"/>
    <w:uiPriority w:val="99"/>
    <w:unhideWhenUsed/>
    <w:rsid w:val="00745AA5"/>
    <w:pPr>
      <w:tabs>
        <w:tab w:val="center" w:pos="4513"/>
        <w:tab w:val="right" w:pos="9026"/>
      </w:tabs>
    </w:pPr>
  </w:style>
  <w:style w:type="character" w:customStyle="1" w:styleId="FooterChar">
    <w:name w:val="Footer Char"/>
    <w:basedOn w:val="DefaultParagraphFont"/>
    <w:link w:val="Footer"/>
    <w:uiPriority w:val="99"/>
    <w:rsid w:val="00745AA5"/>
  </w:style>
  <w:style w:type="character" w:styleId="Hyperlink">
    <w:name w:val="Hyperlink"/>
    <w:basedOn w:val="DefaultParagraphFont"/>
    <w:uiPriority w:val="99"/>
    <w:unhideWhenUsed/>
    <w:rsid w:val="004430E2"/>
    <w:rPr>
      <w:color w:val="467886" w:themeColor="hyperlink"/>
      <w:u w:val="single"/>
    </w:rPr>
  </w:style>
  <w:style w:type="character" w:styleId="UnresolvedMention">
    <w:name w:val="Unresolved Mention"/>
    <w:basedOn w:val="DefaultParagraphFont"/>
    <w:uiPriority w:val="99"/>
    <w:semiHidden/>
    <w:unhideWhenUsed/>
    <w:rsid w:val="00443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info@financial-ombudsman.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illiamgillis@grml.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nancial-ombudsman.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Debra Jones</cp:lastModifiedBy>
  <cp:revision>9</cp:revision>
  <dcterms:created xsi:type="dcterms:W3CDTF">2024-11-01T13:08:00Z</dcterms:created>
  <dcterms:modified xsi:type="dcterms:W3CDTF">2024-11-01T13:21:00Z</dcterms:modified>
</cp:coreProperties>
</file>